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95E5" w14:textId="77777777" w:rsidR="00D51C0F" w:rsidRDefault="00D51C0F" w:rsidP="00D51C0F">
      <w:pPr>
        <w:pStyle w:val="berschrift3"/>
        <w:shd w:val="clear" w:color="auto" w:fill="FFFFFF"/>
        <w:spacing w:before="0" w:beforeAutospacing="0" w:after="0" w:afterAutospacing="0" w:line="360" w:lineRule="atLeast"/>
        <w:rPr>
          <w:rFonts w:ascii="Arial" w:hAnsi="Arial" w:cs="Arial"/>
          <w:color w:val="483379"/>
          <w:sz w:val="36"/>
          <w:szCs w:val="36"/>
        </w:rPr>
      </w:pPr>
      <w:bookmarkStart w:id="0" w:name="OLE_LINK46"/>
      <w:bookmarkStart w:id="1" w:name="OLE_LINK47"/>
      <w:bookmarkStart w:id="2" w:name="OLE_LINK52"/>
      <w:bookmarkStart w:id="3" w:name="OLE_LINK53"/>
      <w:r>
        <w:rPr>
          <w:sz w:val="28"/>
          <w:szCs w:val="28"/>
        </w:rPr>
        <w:t>August</w:t>
      </w:r>
    </w:p>
    <w:bookmarkEnd w:id="0"/>
    <w:bookmarkEnd w:id="1"/>
    <w:bookmarkEnd w:id="2"/>
    <w:bookmarkEnd w:id="3"/>
    <w:p w14:paraId="12AE2C7D" w14:textId="77777777" w:rsidR="00D51C0F" w:rsidRDefault="00D51C0F" w:rsidP="00D51C0F">
      <w:pPr>
        <w:rPr>
          <w:rFonts w:ascii="Arial" w:eastAsia="Times New Roman" w:hAnsi="Arial" w:cs="Arial"/>
          <w:b/>
          <w:bCs/>
          <w:color w:val="483379"/>
          <w:sz w:val="36"/>
          <w:szCs w:val="36"/>
          <w:lang w:eastAsia="zh-CN"/>
        </w:rPr>
      </w:pPr>
      <w:r w:rsidRPr="00F54183">
        <w:rPr>
          <w:rFonts w:ascii="Arial" w:eastAsia="Times New Roman" w:hAnsi="Arial" w:cs="Arial"/>
          <w:b/>
          <w:bCs/>
          <w:color w:val="483379"/>
          <w:sz w:val="36"/>
          <w:szCs w:val="36"/>
          <w:lang w:eastAsia="zh-CN"/>
        </w:rPr>
        <w:t>Verbunden im Gedenken</w:t>
      </w:r>
      <w:r>
        <w:rPr>
          <w:rFonts w:ascii="Arial" w:eastAsia="Times New Roman" w:hAnsi="Arial" w:cs="Arial"/>
          <w:b/>
          <w:bCs/>
          <w:color w:val="483379"/>
          <w:sz w:val="36"/>
          <w:szCs w:val="36"/>
          <w:lang w:eastAsia="zh-CN"/>
        </w:rPr>
        <w:t>:</w:t>
      </w:r>
    </w:p>
    <w:p w14:paraId="3EED7706" w14:textId="77777777" w:rsidR="00D51C0F" w:rsidRPr="00F54183" w:rsidRDefault="00D51C0F" w:rsidP="00D51C0F">
      <w:pPr>
        <w:rPr>
          <w:rFonts w:ascii="Arial" w:eastAsia="Times New Roman" w:hAnsi="Arial" w:cs="Arial"/>
          <w:b/>
          <w:bCs/>
          <w:color w:val="483379"/>
          <w:sz w:val="36"/>
          <w:szCs w:val="36"/>
          <w:lang w:eastAsia="zh-CN"/>
        </w:rPr>
      </w:pPr>
      <w:proofErr w:type="spellStart"/>
      <w:r w:rsidRPr="00F54183">
        <w:rPr>
          <w:rFonts w:ascii="Arial" w:eastAsia="Times New Roman" w:hAnsi="Arial" w:cs="Arial"/>
          <w:b/>
          <w:bCs/>
          <w:color w:val="483379"/>
          <w:sz w:val="36"/>
          <w:szCs w:val="36"/>
          <w:lang w:eastAsia="zh-CN"/>
        </w:rPr>
        <w:t>Tischa</w:t>
      </w:r>
      <w:proofErr w:type="spellEnd"/>
      <w:r w:rsidRPr="00F54183">
        <w:rPr>
          <w:rFonts w:ascii="Arial" w:eastAsia="Times New Roman" w:hAnsi="Arial" w:cs="Arial"/>
          <w:b/>
          <w:bCs/>
          <w:color w:val="483379"/>
          <w:sz w:val="36"/>
          <w:szCs w:val="36"/>
          <w:lang w:eastAsia="zh-CN"/>
        </w:rPr>
        <w:t xml:space="preserve"> </w:t>
      </w:r>
      <w:proofErr w:type="spellStart"/>
      <w:r w:rsidRPr="00F54183">
        <w:rPr>
          <w:rFonts w:ascii="Arial" w:eastAsia="Times New Roman" w:hAnsi="Arial" w:cs="Arial"/>
          <w:b/>
          <w:bCs/>
          <w:color w:val="483379"/>
          <w:sz w:val="36"/>
          <w:szCs w:val="36"/>
          <w:lang w:eastAsia="zh-CN"/>
        </w:rPr>
        <w:t>B’av</w:t>
      </w:r>
      <w:proofErr w:type="spellEnd"/>
      <w:r w:rsidRPr="00F54183">
        <w:rPr>
          <w:rFonts w:ascii="Arial" w:eastAsia="Times New Roman" w:hAnsi="Arial" w:cs="Arial"/>
          <w:b/>
          <w:bCs/>
          <w:color w:val="483379"/>
          <w:sz w:val="36"/>
          <w:szCs w:val="36"/>
          <w:lang w:eastAsia="zh-CN"/>
        </w:rPr>
        <w:t xml:space="preserve"> </w:t>
      </w:r>
      <w:r w:rsidRPr="00F54183">
        <w:rPr>
          <w:rFonts w:ascii="Arial" w:eastAsia="Times New Roman" w:hAnsi="Arial" w:cs="Arial"/>
          <w:b/>
          <w:bCs/>
          <w:i/>
          <w:iCs/>
          <w:color w:val="483379"/>
          <w:sz w:val="36"/>
          <w:szCs w:val="36"/>
          <w:lang w:eastAsia="zh-CN"/>
        </w:rPr>
        <w:t>beziehungsweise</w:t>
      </w:r>
      <w:r w:rsidRPr="00F54183">
        <w:rPr>
          <w:rFonts w:ascii="Arial" w:eastAsia="Times New Roman" w:hAnsi="Arial" w:cs="Arial"/>
          <w:b/>
          <w:bCs/>
          <w:color w:val="483379"/>
          <w:sz w:val="36"/>
          <w:szCs w:val="36"/>
          <w:lang w:eastAsia="zh-CN"/>
        </w:rPr>
        <w:t xml:space="preserve"> Israelsonntag</w:t>
      </w:r>
    </w:p>
    <w:p w14:paraId="29C93FC9" w14:textId="5769020B" w:rsidR="00D45E62" w:rsidRDefault="00D45E62" w:rsidP="00D45E62">
      <w:pPr>
        <w:tabs>
          <w:tab w:val="left" w:pos="9066"/>
        </w:tabs>
        <w:rPr>
          <w:b/>
          <w:bCs/>
          <w:sz w:val="28"/>
          <w:szCs w:val="28"/>
        </w:rPr>
      </w:pPr>
    </w:p>
    <w:p w14:paraId="67D4FB33" w14:textId="4CB46900" w:rsidR="00767E59" w:rsidRPr="00550EE1" w:rsidRDefault="00767E59" w:rsidP="00767E59">
      <w:pPr>
        <w:rPr>
          <w:rFonts w:eastAsia="Times New Roman" w:cs="Times New Roman"/>
          <w:u w:val="single"/>
          <w:lang w:eastAsia="zh-CN"/>
        </w:rPr>
      </w:pPr>
      <w:bookmarkStart w:id="4" w:name="OLE_LINK107"/>
      <w:bookmarkStart w:id="5" w:name="OLE_LINK108"/>
      <w:r w:rsidRPr="00550EE1">
        <w:rPr>
          <w:rFonts w:ascii="Arial" w:eastAsia="Times New Roman" w:hAnsi="Arial" w:cs="Arial"/>
          <w:b/>
          <w:bCs/>
          <w:color w:val="0A0A0A"/>
          <w:sz w:val="23"/>
          <w:szCs w:val="23"/>
          <w:u w:val="single"/>
          <w:bdr w:val="none" w:sz="0" w:space="0" w:color="auto" w:frame="1"/>
          <w:shd w:val="clear" w:color="auto" w:fill="FFFFFF"/>
          <w:lang w:eastAsia="zh-CN"/>
        </w:rPr>
        <w:t xml:space="preserve">Eine </w:t>
      </w:r>
      <w:r w:rsidR="00550EE1" w:rsidRPr="00550EE1">
        <w:rPr>
          <w:rFonts w:ascii="Arial" w:eastAsia="Times New Roman" w:hAnsi="Arial" w:cs="Arial"/>
          <w:b/>
          <w:bCs/>
          <w:color w:val="0A0A0A"/>
          <w:sz w:val="23"/>
          <w:szCs w:val="23"/>
          <w:u w:val="single"/>
          <w:bdr w:val="none" w:sz="0" w:space="0" w:color="auto" w:frame="1"/>
          <w:shd w:val="clear" w:color="auto" w:fill="FFFFFF"/>
          <w:lang w:eastAsia="zh-CN"/>
        </w:rPr>
        <w:t>christlich</w:t>
      </w:r>
      <w:r w:rsidR="00D07AE1">
        <w:rPr>
          <w:rFonts w:ascii="Arial" w:eastAsia="Times New Roman" w:hAnsi="Arial" w:cs="Arial"/>
          <w:b/>
          <w:bCs/>
          <w:color w:val="0A0A0A"/>
          <w:sz w:val="23"/>
          <w:szCs w:val="23"/>
          <w:u w:val="single"/>
          <w:bdr w:val="none" w:sz="0" w:space="0" w:color="auto" w:frame="1"/>
          <w:shd w:val="clear" w:color="auto" w:fill="FFFFFF"/>
          <w:lang w:eastAsia="zh-CN"/>
        </w:rPr>
        <w:t>e</w:t>
      </w:r>
      <w:r w:rsidRPr="00550EE1">
        <w:rPr>
          <w:rFonts w:ascii="Arial" w:eastAsia="Times New Roman" w:hAnsi="Arial" w:cs="Arial"/>
          <w:b/>
          <w:bCs/>
          <w:color w:val="0A0A0A"/>
          <w:sz w:val="23"/>
          <w:szCs w:val="23"/>
          <w:u w:val="single"/>
          <w:bdr w:val="none" w:sz="0" w:space="0" w:color="auto" w:frame="1"/>
          <w:shd w:val="clear" w:color="auto" w:fill="FFFFFF"/>
          <w:lang w:eastAsia="zh-CN"/>
        </w:rPr>
        <w:t xml:space="preserve"> Stimme</w:t>
      </w:r>
    </w:p>
    <w:bookmarkEnd w:id="4"/>
    <w:bookmarkEnd w:id="5"/>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2D9E6AFD" w14:textId="498A7C9D" w:rsidR="00B44DD1" w:rsidRDefault="00B44DD1" w:rsidP="00B44DD1">
      <w:pPr>
        <w:spacing w:line="312" w:lineRule="auto"/>
        <w:rPr>
          <w:rFonts w:ascii="Arial" w:eastAsia="Times New Roman" w:hAnsi="Arial" w:cs="Arial"/>
          <w:color w:val="0A0A0A"/>
          <w:sz w:val="23"/>
          <w:szCs w:val="23"/>
          <w:lang w:eastAsia="zh-CN"/>
        </w:rPr>
      </w:pPr>
      <w:r w:rsidRPr="00B44DD1">
        <w:rPr>
          <w:rFonts w:ascii="Arial" w:eastAsia="Times New Roman" w:hAnsi="Arial" w:cs="Arial"/>
          <w:color w:val="0A0A0A"/>
          <w:sz w:val="23"/>
          <w:szCs w:val="23"/>
          <w:lang w:eastAsia="zh-CN"/>
        </w:rPr>
        <w:t xml:space="preserve">Gedenken geschieht aus verschiedensten Gründen und entfaltet unterschiedliche Wirkungen. Die Geschichte des inzwischen so genannten </w:t>
      </w:r>
      <w:r w:rsidRPr="00DC19DA">
        <w:rPr>
          <w:rFonts w:ascii="Arial" w:eastAsia="Times New Roman" w:hAnsi="Arial" w:cs="Arial"/>
          <w:i/>
          <w:iCs/>
          <w:color w:val="0A0A0A"/>
          <w:sz w:val="23"/>
          <w:szCs w:val="23"/>
          <w:lang w:eastAsia="zh-CN"/>
        </w:rPr>
        <w:t>„Israelsonntags“</w:t>
      </w:r>
      <w:r w:rsidRPr="00B44DD1">
        <w:rPr>
          <w:rFonts w:ascii="Arial" w:eastAsia="Times New Roman" w:hAnsi="Arial" w:cs="Arial"/>
          <w:color w:val="0A0A0A"/>
          <w:sz w:val="23"/>
          <w:szCs w:val="23"/>
          <w:lang w:eastAsia="zh-CN"/>
        </w:rPr>
        <w:t xml:space="preserve"> ist wie ein Spiegel, in dem sich zeigt, wie unterschiedlich christliche Gemeinden der jüdischen Geschichte gedacht haben und was das Gedenken für das Verhältnis von Christen und Juden bedeutete und bedeutet. </w:t>
      </w:r>
    </w:p>
    <w:p w14:paraId="60DB71D1" w14:textId="77777777" w:rsidR="00226C73" w:rsidRPr="00B44DD1" w:rsidRDefault="00226C73" w:rsidP="00B44DD1">
      <w:pPr>
        <w:spacing w:line="312" w:lineRule="auto"/>
        <w:rPr>
          <w:rFonts w:ascii="Arial" w:eastAsia="Times New Roman" w:hAnsi="Arial" w:cs="Arial"/>
          <w:color w:val="0A0A0A"/>
          <w:sz w:val="23"/>
          <w:szCs w:val="23"/>
          <w:lang w:eastAsia="zh-CN"/>
        </w:rPr>
      </w:pPr>
    </w:p>
    <w:p w14:paraId="317B37F7" w14:textId="77777777" w:rsidR="00B44DD1" w:rsidRPr="00B44DD1" w:rsidRDefault="00B44DD1" w:rsidP="00B44DD1">
      <w:pPr>
        <w:spacing w:line="312" w:lineRule="auto"/>
        <w:rPr>
          <w:rFonts w:ascii="Arial" w:eastAsia="Times New Roman" w:hAnsi="Arial" w:cs="Arial"/>
          <w:color w:val="0A0A0A"/>
          <w:sz w:val="23"/>
          <w:szCs w:val="23"/>
          <w:lang w:eastAsia="zh-CN"/>
        </w:rPr>
      </w:pPr>
      <w:r w:rsidRPr="00B44DD1">
        <w:rPr>
          <w:rFonts w:ascii="Arial" w:eastAsia="Times New Roman" w:hAnsi="Arial" w:cs="Arial"/>
          <w:color w:val="0A0A0A"/>
          <w:sz w:val="23"/>
          <w:szCs w:val="23"/>
          <w:lang w:eastAsia="zh-CN"/>
        </w:rPr>
        <w:t xml:space="preserve">Im Judentum erinnert der neunte Tag im sommerlichen Monat </w:t>
      </w:r>
      <w:proofErr w:type="spellStart"/>
      <w:r w:rsidRPr="00B44DD1">
        <w:rPr>
          <w:rFonts w:ascii="Arial" w:eastAsia="Times New Roman" w:hAnsi="Arial" w:cs="Arial"/>
          <w:color w:val="0A0A0A"/>
          <w:sz w:val="23"/>
          <w:szCs w:val="23"/>
          <w:lang w:eastAsia="zh-CN"/>
        </w:rPr>
        <w:t>Av</w:t>
      </w:r>
      <w:proofErr w:type="spellEnd"/>
      <w:r w:rsidRPr="00B44DD1">
        <w:rPr>
          <w:rFonts w:ascii="Arial" w:eastAsia="Times New Roman" w:hAnsi="Arial" w:cs="Arial"/>
          <w:color w:val="0A0A0A"/>
          <w:sz w:val="23"/>
          <w:szCs w:val="23"/>
          <w:lang w:eastAsia="zh-CN"/>
        </w:rPr>
        <w:t xml:space="preserve"> an die Zerstörung des ersten und des zweiten Tempels in Jerusalem und an weitere Katastrophen in der jüdischen Geschichte. Seit dem 11. Jahrhundert ist belegt, dass am 10. Sonntag nach dem Trinitatisfest und damit im zeitlichen Umfeld des jüdischen Gedenktags in Mess-Gottesdiensten das Evangelium vom Weinen Jesu über Jerusalem gelesen wurde (</w:t>
      </w:r>
      <w:proofErr w:type="spellStart"/>
      <w:r w:rsidRPr="00B44DD1">
        <w:rPr>
          <w:rFonts w:ascii="Arial" w:eastAsia="Times New Roman" w:hAnsi="Arial" w:cs="Arial"/>
          <w:color w:val="0A0A0A"/>
          <w:sz w:val="23"/>
          <w:szCs w:val="23"/>
          <w:lang w:eastAsia="zh-CN"/>
        </w:rPr>
        <w:t>Lk</w:t>
      </w:r>
      <w:proofErr w:type="spellEnd"/>
      <w:r w:rsidRPr="00B44DD1">
        <w:rPr>
          <w:rFonts w:ascii="Arial" w:eastAsia="Times New Roman" w:hAnsi="Arial" w:cs="Arial"/>
          <w:color w:val="0A0A0A"/>
          <w:sz w:val="23"/>
          <w:szCs w:val="23"/>
          <w:lang w:eastAsia="zh-CN"/>
        </w:rPr>
        <w:t xml:space="preserve"> 19,41–48). Aber erst in der Reformationszeit wurde daraus ein ‚Israelsonntag‘ mit eigener Bedeutung. Dafür ist vor allem die vom Wittenberger Pfarrer und Reformator Johannes </w:t>
      </w:r>
      <w:proofErr w:type="spellStart"/>
      <w:r w:rsidRPr="00B44DD1">
        <w:rPr>
          <w:rFonts w:ascii="Arial" w:eastAsia="Times New Roman" w:hAnsi="Arial" w:cs="Arial"/>
          <w:color w:val="0A0A0A"/>
          <w:sz w:val="23"/>
          <w:szCs w:val="23"/>
          <w:lang w:eastAsia="zh-CN"/>
        </w:rPr>
        <w:t>Bugenhagen</w:t>
      </w:r>
      <w:proofErr w:type="spellEnd"/>
      <w:r w:rsidRPr="00B44DD1">
        <w:rPr>
          <w:rFonts w:ascii="Arial" w:eastAsia="Times New Roman" w:hAnsi="Arial" w:cs="Arial"/>
          <w:color w:val="0A0A0A"/>
          <w:sz w:val="23"/>
          <w:szCs w:val="23"/>
          <w:lang w:eastAsia="zh-CN"/>
        </w:rPr>
        <w:t xml:space="preserve"> (1485–1558) 1534 zusammengestellte </w:t>
      </w:r>
      <w:r w:rsidRPr="00DC19DA">
        <w:rPr>
          <w:rFonts w:ascii="Arial" w:eastAsia="Times New Roman" w:hAnsi="Arial" w:cs="Arial"/>
          <w:i/>
          <w:iCs/>
          <w:color w:val="0A0A0A"/>
          <w:sz w:val="23"/>
          <w:szCs w:val="23"/>
          <w:lang w:eastAsia="zh-CN"/>
        </w:rPr>
        <w:t>„Historie von der Zerstörung Jerusalems“</w:t>
      </w:r>
      <w:r w:rsidRPr="00B44DD1">
        <w:rPr>
          <w:rFonts w:ascii="Arial" w:eastAsia="Times New Roman" w:hAnsi="Arial" w:cs="Arial"/>
          <w:color w:val="0A0A0A"/>
          <w:sz w:val="23"/>
          <w:szCs w:val="23"/>
          <w:lang w:eastAsia="zh-CN"/>
        </w:rPr>
        <w:t xml:space="preserve"> verantwortlich. </w:t>
      </w:r>
      <w:proofErr w:type="spellStart"/>
      <w:r w:rsidRPr="00B44DD1">
        <w:rPr>
          <w:rFonts w:ascii="Arial" w:eastAsia="Times New Roman" w:hAnsi="Arial" w:cs="Arial"/>
          <w:color w:val="0A0A0A"/>
          <w:sz w:val="23"/>
          <w:szCs w:val="23"/>
          <w:lang w:eastAsia="zh-CN"/>
        </w:rPr>
        <w:t>Bugenhagen</w:t>
      </w:r>
      <w:proofErr w:type="spellEnd"/>
      <w:r w:rsidRPr="00B44DD1">
        <w:rPr>
          <w:rFonts w:ascii="Arial" w:eastAsia="Times New Roman" w:hAnsi="Arial" w:cs="Arial"/>
          <w:color w:val="0A0A0A"/>
          <w:sz w:val="23"/>
          <w:szCs w:val="23"/>
          <w:lang w:eastAsia="zh-CN"/>
        </w:rPr>
        <w:t xml:space="preserve"> ließ den Text als Anhang an seine Zusammenfassung der Passionsgeschichte (Passionsharmonie) drucken. Die Passionsharmonie sollte am Karfreitag gelesen werden, der Bericht von der Zerstörung Jerusalems am 10. Sonntag nach Trinitatis. Grob lassen sich in der Geschichte drei Linien der Deutung der </w:t>
      </w:r>
      <w:r w:rsidRPr="00DC19DA">
        <w:rPr>
          <w:rFonts w:ascii="Arial" w:eastAsia="Times New Roman" w:hAnsi="Arial" w:cs="Arial"/>
          <w:i/>
          <w:iCs/>
          <w:color w:val="0A0A0A"/>
          <w:sz w:val="23"/>
          <w:szCs w:val="23"/>
          <w:lang w:eastAsia="zh-CN"/>
        </w:rPr>
        <w:t>„Zerstörung Jerusalems“</w:t>
      </w:r>
      <w:r w:rsidRPr="00B44DD1">
        <w:rPr>
          <w:rFonts w:ascii="Arial" w:eastAsia="Times New Roman" w:hAnsi="Arial" w:cs="Arial"/>
          <w:color w:val="0A0A0A"/>
          <w:sz w:val="23"/>
          <w:szCs w:val="23"/>
          <w:lang w:eastAsia="zh-CN"/>
        </w:rPr>
        <w:t xml:space="preserve"> nachweisen:</w:t>
      </w:r>
    </w:p>
    <w:p w14:paraId="5F1EC037" w14:textId="77777777" w:rsidR="00B44DD1" w:rsidRPr="00B44DD1" w:rsidRDefault="00B44DD1" w:rsidP="00B44DD1">
      <w:pPr>
        <w:spacing w:line="312" w:lineRule="auto"/>
        <w:rPr>
          <w:rFonts w:ascii="Arial" w:eastAsia="Times New Roman" w:hAnsi="Arial" w:cs="Arial"/>
          <w:color w:val="0A0A0A"/>
          <w:sz w:val="23"/>
          <w:szCs w:val="23"/>
          <w:lang w:eastAsia="zh-CN"/>
        </w:rPr>
      </w:pPr>
    </w:p>
    <w:p w14:paraId="39C0F4BE" w14:textId="77777777" w:rsidR="00B44DD1" w:rsidRPr="00B44DD1" w:rsidRDefault="00B44DD1" w:rsidP="00C36F8A">
      <w:pPr>
        <w:spacing w:line="312" w:lineRule="auto"/>
        <w:rPr>
          <w:rFonts w:ascii="Arial" w:eastAsia="Times New Roman" w:hAnsi="Arial" w:cs="Arial"/>
          <w:color w:val="0A0A0A"/>
          <w:sz w:val="23"/>
          <w:szCs w:val="23"/>
          <w:lang w:eastAsia="zh-CN"/>
        </w:rPr>
      </w:pPr>
      <w:r w:rsidRPr="00B44DD1">
        <w:rPr>
          <w:rFonts w:ascii="Arial" w:eastAsia="Times New Roman" w:hAnsi="Arial" w:cs="Arial"/>
          <w:color w:val="0A0A0A"/>
          <w:sz w:val="23"/>
          <w:szCs w:val="23"/>
          <w:lang w:eastAsia="zh-CN"/>
        </w:rPr>
        <w:t xml:space="preserve">(1) In der für das christliche Verhältnis zu Jüdinnen und Juden problematischsten Interpretation zeigen Christenmenschen selbstgewiss und hochmütig auf das vermeintlich gescheiterte Gottesvolk Israel, das Jesus nicht als seinen Messias erkannt habe und deshalb von Gott gestraft worden sei. Gedenken an die Zerstörung Jerusalems stabilisiert in dieser Deutung christliche Identität durch die Abwertung des Judentums. So ist es in der mittelalterlichen Kunst immer wieder in den Skulpturen zu sehen, die </w:t>
      </w:r>
      <w:proofErr w:type="spellStart"/>
      <w:r w:rsidRPr="00B44DD1">
        <w:rPr>
          <w:rFonts w:ascii="Arial" w:eastAsia="Times New Roman" w:hAnsi="Arial" w:cs="Arial"/>
          <w:color w:val="0A0A0A"/>
          <w:sz w:val="23"/>
          <w:szCs w:val="23"/>
          <w:lang w:eastAsia="zh-CN"/>
        </w:rPr>
        <w:t>Synagoga</w:t>
      </w:r>
      <w:proofErr w:type="spellEnd"/>
      <w:r w:rsidRPr="00B44DD1">
        <w:rPr>
          <w:rFonts w:ascii="Arial" w:eastAsia="Times New Roman" w:hAnsi="Arial" w:cs="Arial"/>
          <w:color w:val="0A0A0A"/>
          <w:sz w:val="23"/>
          <w:szCs w:val="23"/>
          <w:lang w:eastAsia="zh-CN"/>
        </w:rPr>
        <w:t xml:space="preserve"> und Ecclesia zeigen. Am 10. Sonntag nach Trinitatis wurde in christlichen Kirchen durch die Jahrhunderte auf der Linie dieser Deutung gepredigt und christlicher Antijudaismus verstärkt.</w:t>
      </w:r>
    </w:p>
    <w:p w14:paraId="3A79F30B" w14:textId="77777777" w:rsidR="00B44DD1" w:rsidRPr="00B44DD1" w:rsidRDefault="00B44DD1" w:rsidP="00B44DD1">
      <w:pPr>
        <w:spacing w:line="312" w:lineRule="auto"/>
        <w:ind w:left="708"/>
        <w:rPr>
          <w:rFonts w:ascii="Arial" w:eastAsia="Times New Roman" w:hAnsi="Arial" w:cs="Arial"/>
          <w:color w:val="0A0A0A"/>
          <w:sz w:val="23"/>
          <w:szCs w:val="23"/>
          <w:lang w:eastAsia="zh-CN"/>
        </w:rPr>
      </w:pPr>
    </w:p>
    <w:p w14:paraId="736DB48D" w14:textId="77777777" w:rsidR="00B44DD1" w:rsidRPr="00B44DD1" w:rsidRDefault="00B44DD1" w:rsidP="00C36F8A">
      <w:pPr>
        <w:spacing w:line="312" w:lineRule="auto"/>
        <w:rPr>
          <w:rFonts w:ascii="Arial" w:eastAsia="Times New Roman" w:hAnsi="Arial" w:cs="Arial"/>
          <w:color w:val="0A0A0A"/>
          <w:sz w:val="23"/>
          <w:szCs w:val="23"/>
          <w:lang w:eastAsia="zh-CN"/>
        </w:rPr>
      </w:pPr>
      <w:r w:rsidRPr="00B44DD1">
        <w:rPr>
          <w:rFonts w:ascii="Arial" w:eastAsia="Times New Roman" w:hAnsi="Arial" w:cs="Arial"/>
          <w:color w:val="0A0A0A"/>
          <w:sz w:val="23"/>
          <w:szCs w:val="23"/>
          <w:lang w:eastAsia="zh-CN"/>
        </w:rPr>
        <w:t xml:space="preserve">(2) Ebenfalls problematisch ist die Interpretation, nach der sich Israels Schicksal als Warnung für die Christenheit verstehen lasse. Immerhin wird das Gedenken hier nicht zur Selbstbestätigung missbraucht, sondern als kritische Anfrage an das eigene Glauben und Leben verstanden. In der Reformationszeit, die viele als Zeit besonderer göttlicher </w:t>
      </w:r>
      <w:r w:rsidRPr="00B44DD1">
        <w:rPr>
          <w:rFonts w:ascii="Arial" w:eastAsia="Times New Roman" w:hAnsi="Arial" w:cs="Arial"/>
          <w:color w:val="0A0A0A"/>
          <w:sz w:val="23"/>
          <w:szCs w:val="23"/>
          <w:lang w:eastAsia="zh-CN"/>
        </w:rPr>
        <w:lastRenderedPageBreak/>
        <w:t>Heimsuchung sahen, finden sich zahlreiche Predigten, in denen Christinnen und Christen aufgefordert werden, sich nicht so zu verhalten wie einst ‚die Juden‘, sondern das Handeln Gottes zu erkennen. Auch in dieser Deutung bleibt der Blick auf das vermeintliche Versagen des Judentums gerichtet, dem nach der Zerstörung des Jerusalemer Tempels im Jahr 70 keine positive Bedeutung mehr zugewiesen wird.</w:t>
      </w:r>
    </w:p>
    <w:p w14:paraId="52B470F8" w14:textId="77777777" w:rsidR="00B44DD1" w:rsidRPr="00B44DD1" w:rsidRDefault="00B44DD1" w:rsidP="00B44DD1">
      <w:pPr>
        <w:spacing w:line="312" w:lineRule="auto"/>
        <w:ind w:left="708"/>
        <w:rPr>
          <w:rFonts w:ascii="Arial" w:eastAsia="Times New Roman" w:hAnsi="Arial" w:cs="Arial"/>
          <w:color w:val="0A0A0A"/>
          <w:sz w:val="23"/>
          <w:szCs w:val="23"/>
          <w:lang w:eastAsia="zh-CN"/>
        </w:rPr>
      </w:pPr>
    </w:p>
    <w:p w14:paraId="6F5EBBB9" w14:textId="77777777" w:rsidR="00B44DD1" w:rsidRPr="00B44DD1" w:rsidRDefault="00B44DD1" w:rsidP="00C36F8A">
      <w:pPr>
        <w:spacing w:line="312" w:lineRule="auto"/>
        <w:rPr>
          <w:rFonts w:ascii="Arial" w:eastAsia="Times New Roman" w:hAnsi="Arial" w:cs="Arial"/>
          <w:color w:val="0A0A0A"/>
          <w:sz w:val="23"/>
          <w:szCs w:val="23"/>
          <w:lang w:eastAsia="zh-CN"/>
        </w:rPr>
      </w:pPr>
      <w:r w:rsidRPr="00B44DD1">
        <w:rPr>
          <w:rFonts w:ascii="Arial" w:eastAsia="Times New Roman" w:hAnsi="Arial" w:cs="Arial"/>
          <w:color w:val="0A0A0A"/>
          <w:sz w:val="23"/>
          <w:szCs w:val="23"/>
          <w:lang w:eastAsia="zh-CN"/>
        </w:rPr>
        <w:t xml:space="preserve">(3) Eine andere Interpretation ergab und ergibt sich dort, wo Christenmenschen erkennen, dass Jesus über Jerusalem weint (was von Jesus im gesamten Neuen Testament nur in </w:t>
      </w:r>
      <w:proofErr w:type="spellStart"/>
      <w:r w:rsidRPr="00B44DD1">
        <w:rPr>
          <w:rFonts w:ascii="Arial" w:eastAsia="Times New Roman" w:hAnsi="Arial" w:cs="Arial"/>
          <w:color w:val="0A0A0A"/>
          <w:sz w:val="23"/>
          <w:szCs w:val="23"/>
          <w:lang w:eastAsia="zh-CN"/>
        </w:rPr>
        <w:t>Lk</w:t>
      </w:r>
      <w:proofErr w:type="spellEnd"/>
      <w:r w:rsidRPr="00B44DD1">
        <w:rPr>
          <w:rFonts w:ascii="Arial" w:eastAsia="Times New Roman" w:hAnsi="Arial" w:cs="Arial"/>
          <w:color w:val="0A0A0A"/>
          <w:sz w:val="23"/>
          <w:szCs w:val="23"/>
          <w:lang w:eastAsia="zh-CN"/>
        </w:rPr>
        <w:t xml:space="preserve"> 19,41 berichtet wird). Die Trauer Jesu über die Zerstörung der Stadt kann für Christinnen und Christen die Aufforderung bedeuten, mit Jüdinnen und Juden über Jerusalem zu klagen und für Jerusalem zu beten (vgl. </w:t>
      </w:r>
      <w:proofErr w:type="spellStart"/>
      <w:r w:rsidRPr="00B44DD1">
        <w:rPr>
          <w:rFonts w:ascii="Arial" w:eastAsia="Times New Roman" w:hAnsi="Arial" w:cs="Arial"/>
          <w:color w:val="0A0A0A"/>
          <w:sz w:val="23"/>
          <w:szCs w:val="23"/>
          <w:lang w:eastAsia="zh-CN"/>
        </w:rPr>
        <w:t>Ps</w:t>
      </w:r>
      <w:proofErr w:type="spellEnd"/>
      <w:r w:rsidRPr="00B44DD1">
        <w:rPr>
          <w:rFonts w:ascii="Arial" w:eastAsia="Times New Roman" w:hAnsi="Arial" w:cs="Arial"/>
          <w:color w:val="0A0A0A"/>
          <w:sz w:val="23"/>
          <w:szCs w:val="23"/>
          <w:lang w:eastAsia="zh-CN"/>
        </w:rPr>
        <w:t xml:space="preserve"> 122). In einigen wenigen evangelischen Gemeinden wurden am 10. Sonntag nach Trinitatis besondere Klage- und Bittgottesdienste gefeiert, die eigene Not im Licht der Zerstörung Jerusalems vor Gott erinnerten. Nur in dieser Deutung entfaltet das Gedenken an die Zerstörung Jerusalems keine problematische Wirkung, sondern kann in christlich-jüdische Solidarität führen. Dann stehen sich nicht gescheiterte </w:t>
      </w:r>
      <w:proofErr w:type="spellStart"/>
      <w:r w:rsidRPr="00B44DD1">
        <w:rPr>
          <w:rFonts w:ascii="Arial" w:eastAsia="Times New Roman" w:hAnsi="Arial" w:cs="Arial"/>
          <w:color w:val="0A0A0A"/>
          <w:sz w:val="23"/>
          <w:szCs w:val="23"/>
          <w:lang w:eastAsia="zh-CN"/>
        </w:rPr>
        <w:t>Synagoga</w:t>
      </w:r>
      <w:proofErr w:type="spellEnd"/>
      <w:r w:rsidRPr="00B44DD1">
        <w:rPr>
          <w:rFonts w:ascii="Arial" w:eastAsia="Times New Roman" w:hAnsi="Arial" w:cs="Arial"/>
          <w:color w:val="0A0A0A"/>
          <w:sz w:val="23"/>
          <w:szCs w:val="23"/>
          <w:lang w:eastAsia="zh-CN"/>
        </w:rPr>
        <w:t xml:space="preserve"> und triumphierende Ecclesia gegenüber, sondern – im Bild gesprochen – sitzen beide klagend, fragend, nach Gott suchend und für Jerusalem bittend nebeneinander.</w:t>
      </w:r>
    </w:p>
    <w:p w14:paraId="20549C0C" w14:textId="77777777" w:rsidR="00B44DD1" w:rsidRPr="00B44DD1" w:rsidRDefault="00B44DD1" w:rsidP="00B44DD1">
      <w:pPr>
        <w:spacing w:line="312" w:lineRule="auto"/>
        <w:ind w:left="708"/>
        <w:rPr>
          <w:rFonts w:ascii="Arial" w:eastAsia="Times New Roman" w:hAnsi="Arial" w:cs="Arial"/>
          <w:color w:val="0A0A0A"/>
          <w:sz w:val="23"/>
          <w:szCs w:val="23"/>
          <w:lang w:eastAsia="zh-CN"/>
        </w:rPr>
      </w:pPr>
    </w:p>
    <w:p w14:paraId="68F34B4E" w14:textId="37173FF2" w:rsidR="00B44DD1" w:rsidRDefault="00B44DD1" w:rsidP="00B44DD1">
      <w:pPr>
        <w:spacing w:line="312" w:lineRule="auto"/>
        <w:rPr>
          <w:rFonts w:ascii="Arial" w:eastAsia="Times New Roman" w:hAnsi="Arial" w:cs="Arial"/>
          <w:color w:val="0A0A0A"/>
          <w:sz w:val="23"/>
          <w:szCs w:val="23"/>
          <w:lang w:eastAsia="zh-CN"/>
        </w:rPr>
      </w:pPr>
      <w:r w:rsidRPr="00B44DD1">
        <w:rPr>
          <w:rFonts w:ascii="Arial" w:eastAsia="Times New Roman" w:hAnsi="Arial" w:cs="Arial"/>
          <w:color w:val="0A0A0A"/>
          <w:sz w:val="23"/>
          <w:szCs w:val="23"/>
          <w:lang w:eastAsia="zh-CN"/>
        </w:rPr>
        <w:t xml:space="preserve">Seit den frühen 1960er Jahren wurde der 10. Sonntag nach Trinitatis in den evangelischen Kirchen in Deutschland </w:t>
      </w:r>
      <w:r w:rsidRPr="00DC19DA">
        <w:rPr>
          <w:rFonts w:ascii="Arial" w:eastAsia="Times New Roman" w:hAnsi="Arial" w:cs="Arial"/>
          <w:i/>
          <w:iCs/>
          <w:color w:val="0A0A0A"/>
          <w:sz w:val="23"/>
          <w:szCs w:val="23"/>
          <w:lang w:eastAsia="zh-CN"/>
        </w:rPr>
        <w:t>„Israelsonntag“</w:t>
      </w:r>
      <w:r w:rsidRPr="00B44DD1">
        <w:rPr>
          <w:rFonts w:ascii="Arial" w:eastAsia="Times New Roman" w:hAnsi="Arial" w:cs="Arial"/>
          <w:color w:val="0A0A0A"/>
          <w:sz w:val="23"/>
          <w:szCs w:val="23"/>
          <w:lang w:eastAsia="zh-CN"/>
        </w:rPr>
        <w:t xml:space="preserve"> genannt. Unter anderem </w:t>
      </w:r>
      <w:r w:rsidRPr="00DC19DA">
        <w:rPr>
          <w:rFonts w:ascii="Arial" w:eastAsia="Times New Roman" w:hAnsi="Arial" w:cs="Arial"/>
          <w:i/>
          <w:iCs/>
          <w:color w:val="0A0A0A"/>
          <w:sz w:val="23"/>
          <w:szCs w:val="23"/>
          <w:lang w:eastAsia="zh-CN"/>
        </w:rPr>
        <w:t>„Aktion Sühnezeichen – Friedensdienste“</w:t>
      </w:r>
      <w:r w:rsidRPr="00B44DD1">
        <w:rPr>
          <w:rFonts w:ascii="Arial" w:eastAsia="Times New Roman" w:hAnsi="Arial" w:cs="Arial"/>
          <w:color w:val="0A0A0A"/>
          <w:sz w:val="23"/>
          <w:szCs w:val="23"/>
          <w:lang w:eastAsia="zh-CN"/>
        </w:rPr>
        <w:t xml:space="preserve"> legte Materialien für Predigt und Liturgie vor. Im jüdisch-christlichen Dialog, der nach dem Zweiten Weltkrieg in der katholischen wie in den evangelischen Kirchen geführt wurde, wurde die Einsicht bedeutsam, dass Christinnen und Christen nur mit Israel Anteil haben an Gottes Geschichte der Erwählung und Verheißung (vgl. </w:t>
      </w:r>
      <w:proofErr w:type="spellStart"/>
      <w:r w:rsidRPr="00B44DD1">
        <w:rPr>
          <w:rFonts w:ascii="Arial" w:eastAsia="Times New Roman" w:hAnsi="Arial" w:cs="Arial"/>
          <w:color w:val="0A0A0A"/>
          <w:sz w:val="23"/>
          <w:szCs w:val="23"/>
          <w:lang w:eastAsia="zh-CN"/>
        </w:rPr>
        <w:t>Röm</w:t>
      </w:r>
      <w:proofErr w:type="spellEnd"/>
      <w:r w:rsidRPr="00B44DD1">
        <w:rPr>
          <w:rFonts w:ascii="Arial" w:eastAsia="Times New Roman" w:hAnsi="Arial" w:cs="Arial"/>
          <w:color w:val="0A0A0A"/>
          <w:sz w:val="23"/>
          <w:szCs w:val="23"/>
          <w:lang w:eastAsia="zh-CN"/>
        </w:rPr>
        <w:t xml:space="preserve"> 15,8–12). Kirche wäre ohne </w:t>
      </w:r>
      <w:proofErr w:type="gramStart"/>
      <w:r w:rsidRPr="00B44DD1">
        <w:rPr>
          <w:rFonts w:ascii="Arial" w:eastAsia="Times New Roman" w:hAnsi="Arial" w:cs="Arial"/>
          <w:color w:val="0A0A0A"/>
          <w:sz w:val="23"/>
          <w:szCs w:val="23"/>
          <w:lang w:eastAsia="zh-CN"/>
        </w:rPr>
        <w:t>das</w:t>
      </w:r>
      <w:proofErr w:type="gramEnd"/>
      <w:r w:rsidRPr="00B44DD1">
        <w:rPr>
          <w:rFonts w:ascii="Arial" w:eastAsia="Times New Roman" w:hAnsi="Arial" w:cs="Arial"/>
          <w:color w:val="0A0A0A"/>
          <w:sz w:val="23"/>
          <w:szCs w:val="23"/>
          <w:lang w:eastAsia="zh-CN"/>
        </w:rPr>
        <w:t xml:space="preserve"> bleibend (!) erwählte Gottesvolk Israel undenkbar. Anstatt christliche Identität in der Abgrenzung von Israel zu suchen, wurde neu erkannt, dass diese nur mit Israel gefunden werden kann und dass es daher zentral darum geht, immer wieder zu entdecken, was Kirche und Israel </w:t>
      </w:r>
      <w:proofErr w:type="gramStart"/>
      <w:r w:rsidRPr="00B44DD1">
        <w:rPr>
          <w:rFonts w:ascii="Arial" w:eastAsia="Times New Roman" w:hAnsi="Arial" w:cs="Arial"/>
          <w:color w:val="0A0A0A"/>
          <w:sz w:val="23"/>
          <w:szCs w:val="23"/>
          <w:lang w:eastAsia="zh-CN"/>
        </w:rPr>
        <w:t>verbindet</w:t>
      </w:r>
      <w:proofErr w:type="gramEnd"/>
      <w:r w:rsidRPr="00B44DD1">
        <w:rPr>
          <w:rFonts w:ascii="Arial" w:eastAsia="Times New Roman" w:hAnsi="Arial" w:cs="Arial"/>
          <w:color w:val="0A0A0A"/>
          <w:sz w:val="23"/>
          <w:szCs w:val="23"/>
          <w:lang w:eastAsia="zh-CN"/>
        </w:rPr>
        <w:t xml:space="preserve">. Aus diesem Grund wurden mit Einführung des neuen </w:t>
      </w:r>
      <w:r w:rsidRPr="00DC19DA">
        <w:rPr>
          <w:rFonts w:ascii="Arial" w:eastAsia="Times New Roman" w:hAnsi="Arial" w:cs="Arial"/>
          <w:i/>
          <w:iCs/>
          <w:color w:val="0A0A0A"/>
          <w:sz w:val="23"/>
          <w:szCs w:val="23"/>
          <w:lang w:eastAsia="zh-CN"/>
        </w:rPr>
        <w:t>„Evangelischen Gottesdienstbuchs“</w:t>
      </w:r>
      <w:r w:rsidRPr="00B44DD1">
        <w:rPr>
          <w:rFonts w:ascii="Arial" w:eastAsia="Times New Roman" w:hAnsi="Arial" w:cs="Arial"/>
          <w:color w:val="0A0A0A"/>
          <w:sz w:val="23"/>
          <w:szCs w:val="23"/>
          <w:lang w:eastAsia="zh-CN"/>
        </w:rPr>
        <w:t xml:space="preserve"> 1999 zwei </w:t>
      </w:r>
      <w:proofErr w:type="spellStart"/>
      <w:r w:rsidRPr="00B44DD1">
        <w:rPr>
          <w:rFonts w:ascii="Arial" w:eastAsia="Times New Roman" w:hAnsi="Arial" w:cs="Arial"/>
          <w:color w:val="0A0A0A"/>
          <w:sz w:val="23"/>
          <w:szCs w:val="23"/>
          <w:lang w:eastAsia="zh-CN"/>
        </w:rPr>
        <w:t>Evangelientexte</w:t>
      </w:r>
      <w:proofErr w:type="spellEnd"/>
      <w:r w:rsidRPr="00B44DD1">
        <w:rPr>
          <w:rFonts w:ascii="Arial" w:eastAsia="Times New Roman" w:hAnsi="Arial" w:cs="Arial"/>
          <w:color w:val="0A0A0A"/>
          <w:sz w:val="23"/>
          <w:szCs w:val="23"/>
          <w:lang w:eastAsia="zh-CN"/>
        </w:rPr>
        <w:t xml:space="preserve"> für den 10. Sonntag nach Trinitatis wahlweise vorgeschlagen: Neben der traditionellen Perikope aus </w:t>
      </w:r>
      <w:proofErr w:type="spellStart"/>
      <w:r w:rsidRPr="00B44DD1">
        <w:rPr>
          <w:rFonts w:ascii="Arial" w:eastAsia="Times New Roman" w:hAnsi="Arial" w:cs="Arial"/>
          <w:color w:val="0A0A0A"/>
          <w:sz w:val="23"/>
          <w:szCs w:val="23"/>
          <w:lang w:eastAsia="zh-CN"/>
        </w:rPr>
        <w:t>Lk</w:t>
      </w:r>
      <w:proofErr w:type="spellEnd"/>
      <w:r w:rsidRPr="00B44DD1">
        <w:rPr>
          <w:rFonts w:ascii="Arial" w:eastAsia="Times New Roman" w:hAnsi="Arial" w:cs="Arial"/>
          <w:color w:val="0A0A0A"/>
          <w:sz w:val="23"/>
          <w:szCs w:val="23"/>
          <w:lang w:eastAsia="zh-CN"/>
        </w:rPr>
        <w:t xml:space="preserve"> 19 war das </w:t>
      </w:r>
      <w:proofErr w:type="spellStart"/>
      <w:r w:rsidRPr="00B44DD1">
        <w:rPr>
          <w:rFonts w:ascii="Arial" w:eastAsia="Times New Roman" w:hAnsi="Arial" w:cs="Arial"/>
          <w:color w:val="0A0A0A"/>
          <w:sz w:val="23"/>
          <w:szCs w:val="23"/>
          <w:lang w:eastAsia="zh-CN"/>
        </w:rPr>
        <w:t>Mk</w:t>
      </w:r>
      <w:proofErr w:type="spellEnd"/>
      <w:r w:rsidRPr="00B44DD1">
        <w:rPr>
          <w:rFonts w:ascii="Arial" w:eastAsia="Times New Roman" w:hAnsi="Arial" w:cs="Arial"/>
          <w:color w:val="0A0A0A"/>
          <w:sz w:val="23"/>
          <w:szCs w:val="23"/>
          <w:lang w:eastAsia="zh-CN"/>
        </w:rPr>
        <w:t xml:space="preserve"> 12,28–34: Im Gespräch mit einem Schriftgelehrten bestimmt Jesus die Gottes- und Nächstenliebe als Mitte der Gebote. Der Schriftgelehrte stimmt ausdrücklich zu, und Jesus bestätigt die Nähe der beiden. In diesem Abschnitt leuchtet ein neues Miteinander auf: </w:t>
      </w:r>
      <w:proofErr w:type="spellStart"/>
      <w:r w:rsidRPr="00B44DD1">
        <w:rPr>
          <w:rFonts w:ascii="Arial" w:eastAsia="Times New Roman" w:hAnsi="Arial" w:cs="Arial"/>
          <w:color w:val="0A0A0A"/>
          <w:sz w:val="23"/>
          <w:szCs w:val="23"/>
          <w:lang w:eastAsia="zh-CN"/>
        </w:rPr>
        <w:t>Synagoga</w:t>
      </w:r>
      <w:proofErr w:type="spellEnd"/>
      <w:r w:rsidRPr="00B44DD1">
        <w:rPr>
          <w:rFonts w:ascii="Arial" w:eastAsia="Times New Roman" w:hAnsi="Arial" w:cs="Arial"/>
          <w:color w:val="0A0A0A"/>
          <w:sz w:val="23"/>
          <w:szCs w:val="23"/>
          <w:lang w:eastAsia="zh-CN"/>
        </w:rPr>
        <w:t xml:space="preserve"> und Ecclesia begegnen sich dialogisch. Sie sind verbunden durch den Glauben an den einen Gott und die Einsicht in die Bedeutung der Gebote Gottes als Lebensraum zur </w:t>
      </w:r>
      <w:r w:rsidRPr="00DC19DA">
        <w:rPr>
          <w:rFonts w:ascii="Arial" w:eastAsia="Times New Roman" w:hAnsi="Arial" w:cs="Arial"/>
          <w:i/>
          <w:iCs/>
          <w:color w:val="0A0A0A"/>
          <w:sz w:val="23"/>
          <w:szCs w:val="23"/>
          <w:lang w:eastAsia="zh-CN"/>
        </w:rPr>
        <w:t>„Bewahrung der Freiheit“</w:t>
      </w:r>
      <w:r w:rsidRPr="00B44DD1">
        <w:rPr>
          <w:rFonts w:ascii="Arial" w:eastAsia="Times New Roman" w:hAnsi="Arial" w:cs="Arial"/>
          <w:color w:val="0A0A0A"/>
          <w:sz w:val="23"/>
          <w:szCs w:val="23"/>
          <w:lang w:eastAsia="zh-CN"/>
        </w:rPr>
        <w:t xml:space="preserve"> (Frank Crüsemann).</w:t>
      </w:r>
    </w:p>
    <w:p w14:paraId="11FD0819" w14:textId="77777777" w:rsidR="00D13DBD" w:rsidRPr="00B44DD1" w:rsidRDefault="00D13DBD" w:rsidP="00B44DD1">
      <w:pPr>
        <w:spacing w:line="312" w:lineRule="auto"/>
        <w:rPr>
          <w:rFonts w:ascii="Arial" w:eastAsia="Times New Roman" w:hAnsi="Arial" w:cs="Arial"/>
          <w:color w:val="0A0A0A"/>
          <w:sz w:val="23"/>
          <w:szCs w:val="23"/>
          <w:lang w:eastAsia="zh-CN"/>
        </w:rPr>
      </w:pPr>
    </w:p>
    <w:p w14:paraId="589CCC19" w14:textId="332C711D" w:rsidR="00B44DD1" w:rsidRDefault="00B44DD1" w:rsidP="00B44DD1">
      <w:pPr>
        <w:spacing w:line="312" w:lineRule="auto"/>
        <w:rPr>
          <w:rFonts w:ascii="Arial" w:eastAsia="Times New Roman" w:hAnsi="Arial" w:cs="Arial"/>
          <w:color w:val="0A0A0A"/>
          <w:sz w:val="23"/>
          <w:szCs w:val="23"/>
          <w:lang w:eastAsia="zh-CN"/>
        </w:rPr>
      </w:pPr>
      <w:r w:rsidRPr="00B44DD1">
        <w:rPr>
          <w:rFonts w:ascii="Arial" w:eastAsia="Times New Roman" w:hAnsi="Arial" w:cs="Arial"/>
          <w:color w:val="0A0A0A"/>
          <w:sz w:val="23"/>
          <w:szCs w:val="23"/>
          <w:lang w:eastAsia="zh-CN"/>
        </w:rPr>
        <w:t xml:space="preserve">In der katholischen Kirche hatte der 10. Sonntag nach Trinitatis nie die Bedeutung, die er seit der Reformation in evangelischen Gemeinden erhielt. In der nach dem Zweiten </w:t>
      </w:r>
      <w:r w:rsidRPr="00B44DD1">
        <w:rPr>
          <w:rFonts w:ascii="Arial" w:eastAsia="Times New Roman" w:hAnsi="Arial" w:cs="Arial"/>
          <w:color w:val="0A0A0A"/>
          <w:sz w:val="23"/>
          <w:szCs w:val="23"/>
          <w:lang w:eastAsia="zh-CN"/>
        </w:rPr>
        <w:lastRenderedPageBreak/>
        <w:t xml:space="preserve">Vatikanischen Konzil erarbeiteten und 1969 vorgelegten neuen katholischen Leseordnung erscheint </w:t>
      </w:r>
      <w:proofErr w:type="spellStart"/>
      <w:r w:rsidRPr="00B44DD1">
        <w:rPr>
          <w:rFonts w:ascii="Arial" w:eastAsia="Times New Roman" w:hAnsi="Arial" w:cs="Arial"/>
          <w:color w:val="0A0A0A"/>
          <w:sz w:val="23"/>
          <w:szCs w:val="23"/>
          <w:lang w:eastAsia="zh-CN"/>
        </w:rPr>
        <w:t>Lk</w:t>
      </w:r>
      <w:proofErr w:type="spellEnd"/>
      <w:r w:rsidRPr="00B44DD1">
        <w:rPr>
          <w:rFonts w:ascii="Arial" w:eastAsia="Times New Roman" w:hAnsi="Arial" w:cs="Arial"/>
          <w:color w:val="0A0A0A"/>
          <w:sz w:val="23"/>
          <w:szCs w:val="23"/>
          <w:lang w:eastAsia="zh-CN"/>
        </w:rPr>
        <w:t xml:space="preserve"> 19,41–48 nicht mehr als Lesungstext für eine Messe an einem Sonn- oder Feiertag. Im </w:t>
      </w:r>
      <w:proofErr w:type="spellStart"/>
      <w:r w:rsidRPr="00B44DD1">
        <w:rPr>
          <w:rFonts w:ascii="Arial" w:eastAsia="Times New Roman" w:hAnsi="Arial" w:cs="Arial"/>
          <w:color w:val="0A0A0A"/>
          <w:sz w:val="23"/>
          <w:szCs w:val="23"/>
          <w:lang w:eastAsia="zh-CN"/>
        </w:rPr>
        <w:t>Lesejahr</w:t>
      </w:r>
      <w:proofErr w:type="spellEnd"/>
      <w:r w:rsidRPr="00B44DD1">
        <w:rPr>
          <w:rFonts w:ascii="Arial" w:eastAsia="Times New Roman" w:hAnsi="Arial" w:cs="Arial"/>
          <w:color w:val="0A0A0A"/>
          <w:sz w:val="23"/>
          <w:szCs w:val="23"/>
          <w:lang w:eastAsia="zh-CN"/>
        </w:rPr>
        <w:t xml:space="preserve"> A wird am 19. Sonntag im Jahreskreis, der dem 10. Sonntag nach Trinitatis entspricht, </w:t>
      </w:r>
      <w:proofErr w:type="spellStart"/>
      <w:r w:rsidRPr="00B44DD1">
        <w:rPr>
          <w:rFonts w:ascii="Arial" w:eastAsia="Times New Roman" w:hAnsi="Arial" w:cs="Arial"/>
          <w:color w:val="0A0A0A"/>
          <w:sz w:val="23"/>
          <w:szCs w:val="23"/>
          <w:lang w:eastAsia="zh-CN"/>
        </w:rPr>
        <w:t>Röm</w:t>
      </w:r>
      <w:proofErr w:type="spellEnd"/>
      <w:r w:rsidRPr="00B44DD1">
        <w:rPr>
          <w:rFonts w:ascii="Arial" w:eastAsia="Times New Roman" w:hAnsi="Arial" w:cs="Arial"/>
          <w:color w:val="0A0A0A"/>
          <w:sz w:val="23"/>
          <w:szCs w:val="23"/>
          <w:lang w:eastAsia="zh-CN"/>
        </w:rPr>
        <w:t xml:space="preserve"> 9,1–5 gelesen. Die paulinischen Aussagen über das, was Israel von Gott bleibend gegeben ist, bieten die Möglichkeit, den Israelsonntag in der katholischen Liturgie aufzugreifen. Das gilt auch für den 31. Sonntag im Jahreskreis, in dem </w:t>
      </w:r>
      <w:proofErr w:type="spellStart"/>
      <w:r w:rsidRPr="00B44DD1">
        <w:rPr>
          <w:rFonts w:ascii="Arial" w:eastAsia="Times New Roman" w:hAnsi="Arial" w:cs="Arial"/>
          <w:color w:val="0A0A0A"/>
          <w:sz w:val="23"/>
          <w:szCs w:val="23"/>
          <w:lang w:eastAsia="zh-CN"/>
        </w:rPr>
        <w:t>Mk</w:t>
      </w:r>
      <w:proofErr w:type="spellEnd"/>
      <w:r w:rsidRPr="00B44DD1">
        <w:rPr>
          <w:rFonts w:ascii="Arial" w:eastAsia="Times New Roman" w:hAnsi="Arial" w:cs="Arial"/>
          <w:color w:val="0A0A0A"/>
          <w:sz w:val="23"/>
          <w:szCs w:val="23"/>
          <w:lang w:eastAsia="zh-CN"/>
        </w:rPr>
        <w:t xml:space="preserve"> 12,28–34 als Evangelium im </w:t>
      </w:r>
      <w:proofErr w:type="spellStart"/>
      <w:r w:rsidRPr="00B44DD1">
        <w:rPr>
          <w:rFonts w:ascii="Arial" w:eastAsia="Times New Roman" w:hAnsi="Arial" w:cs="Arial"/>
          <w:color w:val="0A0A0A"/>
          <w:sz w:val="23"/>
          <w:szCs w:val="23"/>
          <w:lang w:eastAsia="zh-CN"/>
        </w:rPr>
        <w:t>Lesejahr</w:t>
      </w:r>
      <w:proofErr w:type="spellEnd"/>
      <w:r w:rsidRPr="00B44DD1">
        <w:rPr>
          <w:rFonts w:ascii="Arial" w:eastAsia="Times New Roman" w:hAnsi="Arial" w:cs="Arial"/>
          <w:color w:val="0A0A0A"/>
          <w:sz w:val="23"/>
          <w:szCs w:val="23"/>
          <w:lang w:eastAsia="zh-CN"/>
        </w:rPr>
        <w:t xml:space="preserve"> B gelesen wird. Darüber hinaus begehen katholische Christinnen und Christen in einigen Ländern am 17. Januar den </w:t>
      </w:r>
      <w:r w:rsidRPr="00DC19DA">
        <w:rPr>
          <w:rFonts w:ascii="Arial" w:eastAsia="Times New Roman" w:hAnsi="Arial" w:cs="Arial"/>
          <w:i/>
          <w:iCs/>
          <w:color w:val="0A0A0A"/>
          <w:sz w:val="23"/>
          <w:szCs w:val="23"/>
          <w:lang w:eastAsia="zh-CN"/>
        </w:rPr>
        <w:t>„Tag des Judentums“</w:t>
      </w:r>
      <w:r w:rsidRPr="00B44DD1">
        <w:rPr>
          <w:rFonts w:ascii="Arial" w:eastAsia="Times New Roman" w:hAnsi="Arial" w:cs="Arial"/>
          <w:color w:val="0A0A0A"/>
          <w:sz w:val="23"/>
          <w:szCs w:val="23"/>
          <w:lang w:eastAsia="zh-CN"/>
        </w:rPr>
        <w:t xml:space="preserve"> – bewusst einen Tag vor Beginn der weltweiten Gebetswoche für die Einheit der Christen, um so die grundlegende Bedeutung der Verbindung mit dem Judentum Ausdruck zu verleihen.</w:t>
      </w:r>
    </w:p>
    <w:p w14:paraId="4AFC2AB2" w14:textId="77777777" w:rsidR="00D13DBD" w:rsidRPr="00B44DD1" w:rsidRDefault="00D13DBD" w:rsidP="00B44DD1">
      <w:pPr>
        <w:spacing w:line="312" w:lineRule="auto"/>
        <w:rPr>
          <w:rFonts w:ascii="Arial" w:eastAsia="Times New Roman" w:hAnsi="Arial" w:cs="Arial"/>
          <w:color w:val="0A0A0A"/>
          <w:sz w:val="23"/>
          <w:szCs w:val="23"/>
          <w:lang w:eastAsia="zh-CN"/>
        </w:rPr>
      </w:pPr>
    </w:p>
    <w:p w14:paraId="124EAFFB" w14:textId="46FEBB3E" w:rsidR="00B44DD1" w:rsidRDefault="00B44DD1" w:rsidP="00B44DD1">
      <w:pPr>
        <w:spacing w:line="312" w:lineRule="auto"/>
        <w:rPr>
          <w:rFonts w:ascii="Arial" w:eastAsia="Times New Roman" w:hAnsi="Arial" w:cs="Arial"/>
          <w:color w:val="0A0A0A"/>
          <w:sz w:val="23"/>
          <w:szCs w:val="23"/>
          <w:lang w:eastAsia="zh-CN"/>
        </w:rPr>
      </w:pPr>
      <w:r w:rsidRPr="00B44DD1">
        <w:rPr>
          <w:rFonts w:ascii="Arial" w:eastAsia="Times New Roman" w:hAnsi="Arial" w:cs="Arial"/>
          <w:color w:val="0A0A0A"/>
          <w:sz w:val="23"/>
          <w:szCs w:val="23"/>
          <w:lang w:eastAsia="zh-CN"/>
        </w:rPr>
        <w:t xml:space="preserve">Bei der Revision der Ordnung der Lese- und Predigttexte in den evangelischen Kirchen in Deutschland, die im Jahr 2018 abgeschlossen wurde, sind zwei Möglichkeiten der Gestaltung vorgesehen: (1) Der Israelsonntag, 10. Sonntag nach Trinitatis, sollte in der Regel als Tag der Feier des Miteinanders von </w:t>
      </w:r>
      <w:r w:rsidRPr="00DC19DA">
        <w:rPr>
          <w:rFonts w:ascii="Arial" w:eastAsia="Times New Roman" w:hAnsi="Arial" w:cs="Arial"/>
          <w:i/>
          <w:iCs/>
          <w:color w:val="0A0A0A"/>
          <w:sz w:val="23"/>
          <w:szCs w:val="23"/>
          <w:lang w:eastAsia="zh-CN"/>
        </w:rPr>
        <w:t>„Kirche und Israel“</w:t>
      </w:r>
      <w:r w:rsidRPr="00B44DD1">
        <w:rPr>
          <w:rFonts w:ascii="Arial" w:eastAsia="Times New Roman" w:hAnsi="Arial" w:cs="Arial"/>
          <w:color w:val="0A0A0A"/>
          <w:sz w:val="23"/>
          <w:szCs w:val="23"/>
          <w:lang w:eastAsia="zh-CN"/>
        </w:rPr>
        <w:t xml:space="preserve"> begangen werden. Mit der </w:t>
      </w:r>
      <w:proofErr w:type="spellStart"/>
      <w:r w:rsidRPr="00B44DD1">
        <w:rPr>
          <w:rFonts w:ascii="Arial" w:eastAsia="Times New Roman" w:hAnsi="Arial" w:cs="Arial"/>
          <w:color w:val="0A0A0A"/>
          <w:sz w:val="23"/>
          <w:szCs w:val="23"/>
          <w:lang w:eastAsia="zh-CN"/>
        </w:rPr>
        <w:t>Evangelienlesung</w:t>
      </w:r>
      <w:proofErr w:type="spellEnd"/>
      <w:r w:rsidRPr="00B44DD1">
        <w:rPr>
          <w:rFonts w:ascii="Arial" w:eastAsia="Times New Roman" w:hAnsi="Arial" w:cs="Arial"/>
          <w:color w:val="0A0A0A"/>
          <w:sz w:val="23"/>
          <w:szCs w:val="23"/>
          <w:lang w:eastAsia="zh-CN"/>
        </w:rPr>
        <w:t xml:space="preserve"> </w:t>
      </w:r>
      <w:proofErr w:type="spellStart"/>
      <w:r w:rsidRPr="00B44DD1">
        <w:rPr>
          <w:rFonts w:ascii="Arial" w:eastAsia="Times New Roman" w:hAnsi="Arial" w:cs="Arial"/>
          <w:color w:val="0A0A0A"/>
          <w:sz w:val="23"/>
          <w:szCs w:val="23"/>
          <w:lang w:eastAsia="zh-CN"/>
        </w:rPr>
        <w:t>Mk</w:t>
      </w:r>
      <w:proofErr w:type="spellEnd"/>
      <w:r w:rsidRPr="00B44DD1">
        <w:rPr>
          <w:rFonts w:ascii="Arial" w:eastAsia="Times New Roman" w:hAnsi="Arial" w:cs="Arial"/>
          <w:color w:val="0A0A0A"/>
          <w:sz w:val="23"/>
          <w:szCs w:val="23"/>
          <w:lang w:eastAsia="zh-CN"/>
        </w:rPr>
        <w:t xml:space="preserve"> 12,28–34 steht dann die Freude über das im Mittelpunkt, was Christen und Juden verbindet. Die liturgische Farbe an diesem Tag ist grün. (2) Der Israelsonntag kann aber auch als </w:t>
      </w:r>
      <w:r w:rsidRPr="00DC19DA">
        <w:rPr>
          <w:rFonts w:ascii="Arial" w:eastAsia="Times New Roman" w:hAnsi="Arial" w:cs="Arial"/>
          <w:i/>
          <w:iCs/>
          <w:color w:val="0A0A0A"/>
          <w:sz w:val="23"/>
          <w:szCs w:val="23"/>
          <w:lang w:eastAsia="zh-CN"/>
        </w:rPr>
        <w:t xml:space="preserve">„Gedenktag der Zerstörung Jerusalems“ </w:t>
      </w:r>
      <w:r w:rsidRPr="00B44DD1">
        <w:rPr>
          <w:rFonts w:ascii="Arial" w:eastAsia="Times New Roman" w:hAnsi="Arial" w:cs="Arial"/>
          <w:color w:val="0A0A0A"/>
          <w:sz w:val="23"/>
          <w:szCs w:val="23"/>
          <w:lang w:eastAsia="zh-CN"/>
        </w:rPr>
        <w:t xml:space="preserve">gefeiert werden. Die liturgische Farbe ist dann wie in der Passions- und Adventszeit violett – die Farbe der Buße und der Klage. Als Evangelium wird – die alte Tradition aufnehmend – </w:t>
      </w:r>
      <w:proofErr w:type="spellStart"/>
      <w:r w:rsidRPr="00B44DD1">
        <w:rPr>
          <w:rFonts w:ascii="Arial" w:eastAsia="Times New Roman" w:hAnsi="Arial" w:cs="Arial"/>
          <w:color w:val="0A0A0A"/>
          <w:sz w:val="23"/>
          <w:szCs w:val="23"/>
          <w:lang w:eastAsia="zh-CN"/>
        </w:rPr>
        <w:t>Lk</w:t>
      </w:r>
      <w:proofErr w:type="spellEnd"/>
      <w:r w:rsidRPr="00B44DD1">
        <w:rPr>
          <w:rFonts w:ascii="Arial" w:eastAsia="Times New Roman" w:hAnsi="Arial" w:cs="Arial"/>
          <w:color w:val="0A0A0A"/>
          <w:sz w:val="23"/>
          <w:szCs w:val="23"/>
          <w:lang w:eastAsia="zh-CN"/>
        </w:rPr>
        <w:t xml:space="preserve"> 19,41–48 gelesen und es geht um bußfertiges Gedenken an die Rolle, die Christinnen und Christen bei der Beförderung von christlichem Antijudaismus und neuzeitlichem Antisemitismus spielten. </w:t>
      </w:r>
    </w:p>
    <w:p w14:paraId="3562056D" w14:textId="77777777" w:rsidR="00D13DBD" w:rsidRPr="00B44DD1" w:rsidRDefault="00D13DBD" w:rsidP="00B44DD1">
      <w:pPr>
        <w:spacing w:line="312" w:lineRule="auto"/>
        <w:rPr>
          <w:rFonts w:ascii="Arial" w:eastAsia="Times New Roman" w:hAnsi="Arial" w:cs="Arial"/>
          <w:color w:val="0A0A0A"/>
          <w:sz w:val="23"/>
          <w:szCs w:val="23"/>
          <w:lang w:eastAsia="zh-CN"/>
        </w:rPr>
      </w:pPr>
    </w:p>
    <w:p w14:paraId="6FC1DBF0" w14:textId="77777777" w:rsidR="00B44DD1" w:rsidRPr="00B44DD1" w:rsidRDefault="00B44DD1" w:rsidP="00B44DD1">
      <w:pPr>
        <w:spacing w:line="312" w:lineRule="auto"/>
        <w:rPr>
          <w:rFonts w:ascii="Arial" w:eastAsia="Times New Roman" w:hAnsi="Arial" w:cs="Arial"/>
          <w:color w:val="0A0A0A"/>
          <w:sz w:val="23"/>
          <w:szCs w:val="23"/>
          <w:lang w:eastAsia="zh-CN"/>
        </w:rPr>
      </w:pPr>
      <w:r w:rsidRPr="00B44DD1">
        <w:rPr>
          <w:rFonts w:ascii="Arial" w:eastAsia="Times New Roman" w:hAnsi="Arial" w:cs="Arial"/>
          <w:color w:val="0A0A0A"/>
          <w:sz w:val="23"/>
          <w:szCs w:val="23"/>
          <w:lang w:eastAsia="zh-CN"/>
        </w:rPr>
        <w:t xml:space="preserve">In beiden Fällen bietet der Israelsonntag die Chance zu einem Gedenken, das in eine gemeinsame Zukunft weist, jedem alten und neuen Antijudaismus und Antisemitismus entgegentritt und hoffentlich immer wieder zu zahlreichen gemeinsamen Aktionen motiviert. Zum Gedenken gehört die Buße, die Übernahme von Verantwortung, aber auch bereits jetzt die Feier der Verheißungen Gottes, die zuerst Israel gelten und nur mit Israel auch der Kirche: </w:t>
      </w:r>
      <w:r w:rsidRPr="00DC19DA">
        <w:rPr>
          <w:rFonts w:ascii="Arial" w:eastAsia="Times New Roman" w:hAnsi="Arial" w:cs="Arial"/>
          <w:i/>
          <w:iCs/>
          <w:color w:val="0A0A0A"/>
          <w:sz w:val="23"/>
          <w:szCs w:val="23"/>
          <w:lang w:eastAsia="zh-CN"/>
        </w:rPr>
        <w:t>„Freut euch, ihr Heiden, mit seinem Volk“</w:t>
      </w:r>
      <w:r w:rsidRPr="00B44DD1">
        <w:rPr>
          <w:rFonts w:ascii="Arial" w:eastAsia="Times New Roman" w:hAnsi="Arial" w:cs="Arial"/>
          <w:color w:val="0A0A0A"/>
          <w:sz w:val="23"/>
          <w:szCs w:val="23"/>
          <w:lang w:eastAsia="zh-CN"/>
        </w:rPr>
        <w:t xml:space="preserve"> (</w:t>
      </w:r>
      <w:proofErr w:type="spellStart"/>
      <w:r w:rsidRPr="00B44DD1">
        <w:rPr>
          <w:rFonts w:ascii="Arial" w:eastAsia="Times New Roman" w:hAnsi="Arial" w:cs="Arial"/>
          <w:color w:val="0A0A0A"/>
          <w:sz w:val="23"/>
          <w:szCs w:val="23"/>
          <w:lang w:eastAsia="zh-CN"/>
        </w:rPr>
        <w:t>Dtn</w:t>
      </w:r>
      <w:proofErr w:type="spellEnd"/>
      <w:r w:rsidRPr="00B44DD1">
        <w:rPr>
          <w:rFonts w:ascii="Arial" w:eastAsia="Times New Roman" w:hAnsi="Arial" w:cs="Arial"/>
          <w:color w:val="0A0A0A"/>
          <w:sz w:val="23"/>
          <w:szCs w:val="23"/>
          <w:lang w:eastAsia="zh-CN"/>
        </w:rPr>
        <w:t xml:space="preserve"> 32,43; </w:t>
      </w:r>
      <w:proofErr w:type="spellStart"/>
      <w:r w:rsidRPr="00B44DD1">
        <w:rPr>
          <w:rFonts w:ascii="Arial" w:eastAsia="Times New Roman" w:hAnsi="Arial" w:cs="Arial"/>
          <w:color w:val="0A0A0A"/>
          <w:sz w:val="23"/>
          <w:szCs w:val="23"/>
          <w:lang w:eastAsia="zh-CN"/>
        </w:rPr>
        <w:t>Röm</w:t>
      </w:r>
      <w:proofErr w:type="spellEnd"/>
      <w:r w:rsidRPr="00B44DD1">
        <w:rPr>
          <w:rFonts w:ascii="Arial" w:eastAsia="Times New Roman" w:hAnsi="Arial" w:cs="Arial"/>
          <w:color w:val="0A0A0A"/>
          <w:sz w:val="23"/>
          <w:szCs w:val="23"/>
          <w:lang w:eastAsia="zh-CN"/>
        </w:rPr>
        <w:t xml:space="preserve"> 15,10).</w:t>
      </w:r>
    </w:p>
    <w:p w14:paraId="7B1F8962" w14:textId="77777777" w:rsidR="00B44DD1" w:rsidRPr="00B44DD1" w:rsidRDefault="00B44DD1" w:rsidP="00B44DD1">
      <w:pPr>
        <w:spacing w:line="312" w:lineRule="auto"/>
        <w:rPr>
          <w:rFonts w:ascii="Arial" w:eastAsia="Times New Roman" w:hAnsi="Arial" w:cs="Arial"/>
          <w:color w:val="0A0A0A"/>
          <w:sz w:val="23"/>
          <w:szCs w:val="23"/>
          <w:lang w:eastAsia="zh-CN"/>
        </w:rPr>
      </w:pPr>
    </w:p>
    <w:p w14:paraId="03E676E8" w14:textId="24C3B85B" w:rsidR="00B44DD1" w:rsidRDefault="00B44DD1" w:rsidP="00B44DD1">
      <w:pPr>
        <w:spacing w:line="312" w:lineRule="auto"/>
        <w:rPr>
          <w:rFonts w:ascii="Arial" w:eastAsia="Times New Roman" w:hAnsi="Arial" w:cs="Arial"/>
          <w:color w:val="0A0A0A"/>
          <w:sz w:val="23"/>
          <w:szCs w:val="23"/>
          <w:lang w:eastAsia="zh-CN"/>
        </w:rPr>
      </w:pPr>
      <w:r w:rsidRPr="001F47AB">
        <w:rPr>
          <w:rFonts w:ascii="Arial" w:eastAsia="Times New Roman" w:hAnsi="Arial" w:cs="Arial"/>
          <w:i/>
          <w:iCs/>
          <w:color w:val="0A0A0A"/>
          <w:sz w:val="23"/>
          <w:szCs w:val="23"/>
          <w:lang w:eastAsia="zh-CN"/>
        </w:rPr>
        <w:t>Literaturhinweis</w:t>
      </w:r>
      <w:r w:rsidRPr="00B44DD1">
        <w:rPr>
          <w:rFonts w:ascii="Arial" w:eastAsia="Times New Roman" w:hAnsi="Arial" w:cs="Arial"/>
          <w:color w:val="0A0A0A"/>
          <w:sz w:val="23"/>
          <w:szCs w:val="23"/>
          <w:lang w:eastAsia="zh-CN"/>
        </w:rPr>
        <w:t>: Irene Mildenberger, Der Israelsonntag. Gedenktag der Zerstörung Jerusalems. Untersuchungen zu seiner homiletischen und liturgischen Gestaltung in der evangelischen Tradition, SKI 22, Berlin 2004.</w:t>
      </w:r>
    </w:p>
    <w:p w14:paraId="21A5C15D" w14:textId="77777777" w:rsidR="005A17A7" w:rsidRDefault="005A17A7" w:rsidP="005A17A7">
      <w:pPr>
        <w:spacing w:line="312" w:lineRule="auto"/>
        <w:rPr>
          <w:rFonts w:ascii="Arial" w:eastAsia="Times New Roman" w:hAnsi="Arial" w:cs="Arial"/>
          <w:color w:val="0A0A0A"/>
          <w:sz w:val="23"/>
          <w:szCs w:val="23"/>
          <w:shd w:val="clear" w:color="auto" w:fill="FFFFFF"/>
          <w:lang w:eastAsia="zh-CN"/>
        </w:rPr>
      </w:pPr>
    </w:p>
    <w:p w14:paraId="6EF7D9BC" w14:textId="77777777" w:rsidR="005A17A7" w:rsidRPr="00636E67" w:rsidRDefault="005A17A7" w:rsidP="005A17A7">
      <w:pPr>
        <w:spacing w:line="312" w:lineRule="auto"/>
        <w:rPr>
          <w:rFonts w:ascii="Arial" w:eastAsia="Times New Roman" w:hAnsi="Arial" w:cs="Arial"/>
          <w:color w:val="0A0A0A"/>
          <w:sz w:val="23"/>
          <w:szCs w:val="23"/>
          <w:shd w:val="clear" w:color="auto" w:fill="FFFFFF"/>
          <w:lang w:eastAsia="zh-CN"/>
        </w:rPr>
      </w:pPr>
      <w:r w:rsidRPr="004D3C74">
        <w:rPr>
          <w:rFonts w:ascii="Arial" w:eastAsia="Times New Roman" w:hAnsi="Arial" w:cs="Arial"/>
          <w:color w:val="0A0A0A"/>
          <w:sz w:val="23"/>
          <w:szCs w:val="23"/>
          <w:shd w:val="clear" w:color="auto" w:fill="FFFFFF"/>
          <w:lang w:eastAsia="zh-CN"/>
        </w:rPr>
        <w:t xml:space="preserve">– </w:t>
      </w:r>
      <w:r>
        <w:rPr>
          <w:rFonts w:ascii="Arial" w:eastAsia="Times New Roman" w:hAnsi="Arial" w:cs="Arial"/>
          <w:color w:val="0A0A0A"/>
          <w:sz w:val="23"/>
          <w:szCs w:val="23"/>
          <w:shd w:val="clear" w:color="auto" w:fill="FFFFFF"/>
          <w:lang w:eastAsia="zh-CN"/>
        </w:rPr>
        <w:t>A</w:t>
      </w:r>
      <w:r w:rsidRPr="00636E67">
        <w:rPr>
          <w:rFonts w:ascii="Arial" w:eastAsia="Times New Roman" w:hAnsi="Arial" w:cs="Arial"/>
          <w:color w:val="0A0A0A"/>
          <w:sz w:val="23"/>
          <w:szCs w:val="23"/>
          <w:shd w:val="clear" w:color="auto" w:fill="FFFFFF"/>
          <w:lang w:eastAsia="zh-CN"/>
        </w:rPr>
        <w:t xml:space="preserve">lexander </w:t>
      </w:r>
      <w:proofErr w:type="spellStart"/>
      <w:r w:rsidRPr="00636E67">
        <w:rPr>
          <w:rFonts w:ascii="Arial" w:eastAsia="Times New Roman" w:hAnsi="Arial" w:cs="Arial"/>
          <w:color w:val="0A0A0A"/>
          <w:sz w:val="23"/>
          <w:szCs w:val="23"/>
          <w:shd w:val="clear" w:color="auto" w:fill="FFFFFF"/>
          <w:lang w:eastAsia="zh-CN"/>
        </w:rPr>
        <w:t>Deeg</w:t>
      </w:r>
      <w:proofErr w:type="spellEnd"/>
    </w:p>
    <w:p w14:paraId="3171470A" w14:textId="77777777" w:rsidR="001F47AB" w:rsidRPr="00B44DD1" w:rsidRDefault="001F47AB" w:rsidP="00B44DD1">
      <w:pPr>
        <w:spacing w:line="312" w:lineRule="auto"/>
        <w:rPr>
          <w:rFonts w:ascii="Arial" w:eastAsia="Times New Roman" w:hAnsi="Arial" w:cs="Arial"/>
          <w:color w:val="0A0A0A"/>
          <w:sz w:val="23"/>
          <w:szCs w:val="23"/>
          <w:lang w:eastAsia="zh-CN"/>
        </w:rPr>
      </w:pPr>
    </w:p>
    <w:p w14:paraId="06BA215C" w14:textId="77777777" w:rsidR="00B44DD1" w:rsidRPr="00B44DD1" w:rsidRDefault="00B44DD1" w:rsidP="00B44DD1">
      <w:pPr>
        <w:shd w:val="clear" w:color="auto" w:fill="FFFFFF"/>
        <w:spacing w:after="288"/>
        <w:rPr>
          <w:rFonts w:ascii="Arial" w:eastAsia="Times New Roman" w:hAnsi="Arial" w:cs="Arial"/>
          <w:color w:val="0A0A0A"/>
          <w:sz w:val="23"/>
          <w:szCs w:val="23"/>
          <w:lang w:eastAsia="zh-CN"/>
        </w:rPr>
      </w:pPr>
    </w:p>
    <w:sectPr w:rsidR="00B44DD1" w:rsidRPr="00B44D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92708"/>
    <w:rsid w:val="00107749"/>
    <w:rsid w:val="00182DD3"/>
    <w:rsid w:val="001F47AB"/>
    <w:rsid w:val="00226C73"/>
    <w:rsid w:val="002606AB"/>
    <w:rsid w:val="002B0CDD"/>
    <w:rsid w:val="002C35AD"/>
    <w:rsid w:val="003467A4"/>
    <w:rsid w:val="00362842"/>
    <w:rsid w:val="003932EF"/>
    <w:rsid w:val="00440B27"/>
    <w:rsid w:val="004A3A2D"/>
    <w:rsid w:val="00550EE1"/>
    <w:rsid w:val="0057161C"/>
    <w:rsid w:val="00571ED0"/>
    <w:rsid w:val="005A17A7"/>
    <w:rsid w:val="005E2BED"/>
    <w:rsid w:val="00652889"/>
    <w:rsid w:val="00661483"/>
    <w:rsid w:val="006B06A7"/>
    <w:rsid w:val="006B7AA2"/>
    <w:rsid w:val="006D5764"/>
    <w:rsid w:val="0075341C"/>
    <w:rsid w:val="00767E59"/>
    <w:rsid w:val="00876A2A"/>
    <w:rsid w:val="008B4898"/>
    <w:rsid w:val="009B54DC"/>
    <w:rsid w:val="00A27762"/>
    <w:rsid w:val="00B44DD1"/>
    <w:rsid w:val="00BE31BA"/>
    <w:rsid w:val="00C05C2C"/>
    <w:rsid w:val="00C173D9"/>
    <w:rsid w:val="00C36F8A"/>
    <w:rsid w:val="00C40720"/>
    <w:rsid w:val="00C43727"/>
    <w:rsid w:val="00C61ABA"/>
    <w:rsid w:val="00D07AE1"/>
    <w:rsid w:val="00D102FE"/>
    <w:rsid w:val="00D13DBD"/>
    <w:rsid w:val="00D35736"/>
    <w:rsid w:val="00D45E62"/>
    <w:rsid w:val="00D51C0F"/>
    <w:rsid w:val="00DC19DA"/>
    <w:rsid w:val="00DD5DA7"/>
    <w:rsid w:val="00E3043B"/>
    <w:rsid w:val="00E72B9F"/>
    <w:rsid w:val="00EA18E6"/>
    <w:rsid w:val="00EE459D"/>
    <w:rsid w:val="00F23FB4"/>
    <w:rsid w:val="00F43228"/>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293798673">
      <w:bodyDiv w:val="1"/>
      <w:marLeft w:val="0"/>
      <w:marRight w:val="0"/>
      <w:marTop w:val="0"/>
      <w:marBottom w:val="0"/>
      <w:divBdr>
        <w:top w:val="none" w:sz="0" w:space="0" w:color="auto"/>
        <w:left w:val="none" w:sz="0" w:space="0" w:color="auto"/>
        <w:bottom w:val="none" w:sz="0" w:space="0" w:color="auto"/>
        <w:right w:val="none" w:sz="0" w:space="0" w:color="auto"/>
      </w:divBdr>
      <w:divsChild>
        <w:div w:id="1980648642">
          <w:marLeft w:val="0"/>
          <w:marRight w:val="0"/>
          <w:marTop w:val="0"/>
          <w:marBottom w:val="0"/>
          <w:divBdr>
            <w:top w:val="none" w:sz="0" w:space="0" w:color="auto"/>
            <w:left w:val="none" w:sz="0" w:space="0" w:color="auto"/>
            <w:bottom w:val="none" w:sz="0" w:space="0" w:color="auto"/>
            <w:right w:val="none" w:sz="0" w:space="0" w:color="auto"/>
          </w:divBdr>
        </w:div>
        <w:div w:id="1173298932">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26063757">
      <w:bodyDiv w:val="1"/>
      <w:marLeft w:val="0"/>
      <w:marRight w:val="0"/>
      <w:marTop w:val="0"/>
      <w:marBottom w:val="0"/>
      <w:divBdr>
        <w:top w:val="none" w:sz="0" w:space="0" w:color="auto"/>
        <w:left w:val="none" w:sz="0" w:space="0" w:color="auto"/>
        <w:bottom w:val="none" w:sz="0" w:space="0" w:color="auto"/>
        <w:right w:val="none" w:sz="0" w:space="0" w:color="auto"/>
      </w:divBdr>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19</cp:revision>
  <dcterms:created xsi:type="dcterms:W3CDTF">2021-01-13T13:35:00Z</dcterms:created>
  <dcterms:modified xsi:type="dcterms:W3CDTF">2021-01-25T10:39:00Z</dcterms:modified>
</cp:coreProperties>
</file>